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246F0AE" w:rsidR="009364C3" w:rsidRPr="00AB47C4" w:rsidRDefault="00482E17" w:rsidP="008A37AE">
            <w:pPr>
              <w:spacing w:after="0" w:line="240" w:lineRule="auto"/>
              <w:rPr>
                <w:color w:val="000000"/>
              </w:rPr>
            </w:pPr>
            <w:r>
              <w:rPr>
                <w:color w:val="000000"/>
              </w:rPr>
              <w:t>NETWORK AND TELECOMMUNICATION SPECIALIST</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5E7175EC" w:rsidR="00B62CD1" w:rsidRPr="00572763" w:rsidRDefault="00482E17"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0D588C">
              <w:rPr>
                <w:rFonts w:ascii="Arial" w:eastAsia="Arial" w:hAnsi="Arial" w:cs="Arial"/>
                <w:lang w:val="en-US" w:bidi="en-US"/>
              </w:rPr>
              <w:t>t</w:t>
            </w:r>
            <w:r>
              <w:rPr>
                <w:rFonts w:ascii="Arial" w:eastAsia="Arial" w:hAnsi="Arial" w:cs="Arial"/>
                <w:lang w:val="en-US" w:bidi="en-US"/>
              </w:rPr>
              <w:t xml:space="preserve"> of </w:t>
            </w:r>
            <w:r w:rsidR="000D588C">
              <w:rPr>
                <w:rFonts w:ascii="Arial" w:eastAsia="Arial" w:hAnsi="Arial" w:cs="Arial"/>
                <w:lang w:val="en-US" w:bidi="en-US"/>
              </w:rPr>
              <w:t xml:space="preserve">a </w:t>
            </w:r>
            <w:r>
              <w:rPr>
                <w:rFonts w:ascii="Arial" w:eastAsia="Arial" w:hAnsi="Arial" w:cs="Arial"/>
                <w:lang w:val="en-US" w:bidi="en-US"/>
              </w:rPr>
              <w:t xml:space="preserve">network and telecommunication specialist </w:t>
            </w:r>
            <w:r w:rsidR="000D588C">
              <w:rPr>
                <w:rFonts w:ascii="Arial" w:eastAsia="Arial" w:hAnsi="Arial" w:cs="Arial"/>
                <w:lang w:val="en-US" w:bidi="en-US"/>
              </w:rPr>
              <w:t>entails</w:t>
            </w:r>
            <w:r>
              <w:rPr>
                <w:rFonts w:ascii="Arial" w:eastAsia="Arial" w:hAnsi="Arial" w:cs="Arial"/>
                <w:lang w:val="en-US" w:bidi="en-US"/>
              </w:rPr>
              <w:t xml:space="preserve"> eliminating problems that arise in the telecom network and suggesting solutions for the smoother and efficient functioning of the system. It also consists of setting project objectives, standards and milestones for building, upgrades and expansions plans.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7A6CF763"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bachelor’s degree in a computer-related field or equivalent;</w:t>
            </w:r>
          </w:p>
          <w:p w14:paraId="415B8614"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determine how a system should work and how changes in conditions, operations, and the environment will affect outcomes;</w:t>
            </w:r>
          </w:p>
          <w:p w14:paraId="6F338381"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and to identify complex problems and review related information to develop and evaluate options and implement solutions.</w:t>
            </w:r>
          </w:p>
          <w:p w14:paraId="6F7D5486" w14:textId="3C9B4C18" w:rsidR="00B62CD1" w:rsidRPr="00AB47C4" w:rsidRDefault="00B62CD1" w:rsidP="00E46A1B">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1405D136"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3E37B120"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7992EE6A"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14D157E4"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Adaptability/Flexibility — Job requires being open to change (positive or negative) and to considerable variety in the workplace.</w:t>
            </w:r>
          </w:p>
          <w:p w14:paraId="3E257136" w14:textId="2C001BF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BA4E7E">
              <w:rPr>
                <w:rFonts w:ascii="Arial" w:eastAsia="Arial" w:hAnsi="Arial" w:cs="Arial"/>
                <w:noProof/>
                <w:lang w:val="en-US" w:bidi="en-US"/>
              </w:rPr>
              <w:t>analy</w:t>
            </w:r>
            <w:r w:rsidR="00BA4E7E">
              <w:rPr>
                <w:rFonts w:ascii="Arial" w:eastAsia="Arial" w:hAnsi="Arial" w:cs="Arial"/>
                <w:noProof/>
                <w:lang w:val="en-US" w:bidi="en-US"/>
              </w:rPr>
              <w:t>s</w:t>
            </w:r>
            <w:r w:rsidRPr="00BA4E7E">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185D4120"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Collect, examine data and send along relevant information;</w:t>
            </w:r>
          </w:p>
          <w:p w14:paraId="4C9815F5"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Develop design requirements and accordingly adapt and change the </w:t>
            </w:r>
            <w:r>
              <w:rPr>
                <w:rFonts w:ascii="Arial" w:eastAsia="Arial" w:hAnsi="Arial" w:cs="Arial"/>
                <w:lang w:val="en-US" w:bidi="en-US"/>
              </w:rPr>
              <w:lastRenderedPageBreak/>
              <w:t>telecommunications network engineering approaches;</w:t>
            </w:r>
          </w:p>
          <w:p w14:paraId="018F2DBA"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Identify and evaluates different options and choose the right course of action to solve the hitch;</w:t>
            </w:r>
          </w:p>
          <w:p w14:paraId="6CD9E440"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Lead the design, specification, configuration, installation, and maintenance of local area network hardware, software, and telecommunications services;</w:t>
            </w:r>
          </w:p>
          <w:p w14:paraId="7E16677B"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Make recommendations regarding company-wide phone system upgrades and implement network security at the corporate level;</w:t>
            </w:r>
          </w:p>
          <w:p w14:paraId="3C8CC535"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telephone system on a company-wide basis;</w:t>
            </w:r>
          </w:p>
          <w:p w14:paraId="7F764EE7"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Monitor system health and availability for the corporate, development, production, and disaster recovery environments;</w:t>
            </w:r>
          </w:p>
          <w:p w14:paraId="78BDED26" w14:textId="63446A8D"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Prepare cost and benefit, feasibility and impact studies of any new network software or hardware to be </w:t>
            </w:r>
            <w:r w:rsidRPr="00BA4E7E">
              <w:rPr>
                <w:rFonts w:ascii="Arial" w:eastAsia="Arial" w:hAnsi="Arial" w:cs="Arial"/>
                <w:noProof/>
                <w:lang w:val="en-US" w:bidi="en-US"/>
              </w:rPr>
              <w:t>use</w:t>
            </w:r>
            <w:r w:rsidR="00BA4E7E">
              <w:rPr>
                <w:rFonts w:ascii="Arial" w:eastAsia="Arial" w:hAnsi="Arial" w:cs="Arial"/>
                <w:noProof/>
                <w:lang w:val="en-US" w:bidi="en-US"/>
              </w:rPr>
              <w:t>d</w:t>
            </w:r>
            <w:r>
              <w:rPr>
                <w:rFonts w:ascii="Arial" w:eastAsia="Arial" w:hAnsi="Arial" w:cs="Arial"/>
                <w:lang w:val="en-US" w:bidi="en-US"/>
              </w:rPr>
              <w:t>;</w:t>
            </w:r>
          </w:p>
          <w:p w14:paraId="293FC71D" w14:textId="77777777"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Provide adequate infrastructure to the development team by managing telecom contracts and establishing disaster recovery plans;</w:t>
            </w:r>
          </w:p>
          <w:p w14:paraId="0EC66434" w14:textId="5B8442DE" w:rsidR="00482E17" w:rsidRDefault="00482E17" w:rsidP="00482E17">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BA4E7E">
              <w:rPr>
                <w:rFonts w:ascii="Arial" w:eastAsia="Arial" w:hAnsi="Arial" w:cs="Arial"/>
                <w:noProof/>
                <w:lang w:val="en-US" w:bidi="en-US"/>
              </w:rPr>
              <w:t>Recogni</w:t>
            </w:r>
            <w:r w:rsidR="00BA4E7E">
              <w:rPr>
                <w:rFonts w:ascii="Arial" w:eastAsia="Arial" w:hAnsi="Arial" w:cs="Arial"/>
                <w:noProof/>
                <w:lang w:val="en-US" w:bidi="en-US"/>
              </w:rPr>
              <w:t>s</w:t>
            </w:r>
            <w:r w:rsidRPr="00BA4E7E">
              <w:rPr>
                <w:rFonts w:ascii="Arial" w:eastAsia="Arial" w:hAnsi="Arial" w:cs="Arial"/>
                <w:noProof/>
                <w:lang w:val="en-US" w:bidi="en-US"/>
              </w:rPr>
              <w:t>e</w:t>
            </w:r>
            <w:r>
              <w:rPr>
                <w:rFonts w:ascii="Arial" w:eastAsia="Arial" w:hAnsi="Arial" w:cs="Arial"/>
                <w:lang w:val="en-US" w:bidi="en-US"/>
              </w:rPr>
              <w:t xml:space="preserve"> necessary network improvements and make suggestions to IT director.</w:t>
            </w:r>
          </w:p>
          <w:p w14:paraId="2F0F7FF3" w14:textId="310DB5D9" w:rsidR="00B62CD1" w:rsidRPr="00D03D45" w:rsidRDefault="00B62CD1" w:rsidP="00AF4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3CE74B0"/>
    <w:multiLevelType w:val="singleLevel"/>
    <w:tmpl w:val="9F109CC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7E54235"/>
    <w:multiLevelType w:val="singleLevel"/>
    <w:tmpl w:val="407892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EE95B34"/>
    <w:multiLevelType w:val="singleLevel"/>
    <w:tmpl w:val="4D088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3" w15:restartNumberingAfterBreak="0">
    <w:nsid w:val="79475F9F"/>
    <w:multiLevelType w:val="singleLevel"/>
    <w:tmpl w:val="211EFEB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4"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5"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6"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7"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2"/>
  </w:num>
  <w:num w:numId="2">
    <w:abstractNumId w:val="10"/>
  </w:num>
  <w:num w:numId="3">
    <w:abstractNumId w:val="20"/>
  </w:num>
  <w:num w:numId="4">
    <w:abstractNumId w:val="1"/>
  </w:num>
  <w:num w:numId="5">
    <w:abstractNumId w:val="15"/>
  </w:num>
  <w:num w:numId="6">
    <w:abstractNumId w:val="16"/>
  </w:num>
  <w:num w:numId="7">
    <w:abstractNumId w:val="8"/>
  </w:num>
  <w:num w:numId="8">
    <w:abstractNumId w:val="36"/>
  </w:num>
  <w:num w:numId="9">
    <w:abstractNumId w:val="9"/>
  </w:num>
  <w:num w:numId="10">
    <w:abstractNumId w:val="30"/>
  </w:num>
  <w:num w:numId="11">
    <w:abstractNumId w:val="13"/>
  </w:num>
  <w:num w:numId="12">
    <w:abstractNumId w:val="12"/>
  </w:num>
  <w:num w:numId="13">
    <w:abstractNumId w:val="26"/>
  </w:num>
  <w:num w:numId="14">
    <w:abstractNumId w:val="34"/>
  </w:num>
  <w:num w:numId="15">
    <w:abstractNumId w:val="29"/>
  </w:num>
  <w:num w:numId="16">
    <w:abstractNumId w:val="35"/>
  </w:num>
  <w:num w:numId="17">
    <w:abstractNumId w:val="28"/>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7"/>
  </w:num>
  <w:num w:numId="25">
    <w:abstractNumId w:val="0"/>
  </w:num>
  <w:num w:numId="26">
    <w:abstractNumId w:val="31"/>
  </w:num>
  <w:num w:numId="27">
    <w:abstractNumId w:val="22"/>
  </w:num>
  <w:num w:numId="28">
    <w:abstractNumId w:val="14"/>
  </w:num>
  <w:num w:numId="29">
    <w:abstractNumId w:val="27"/>
  </w:num>
  <w:num w:numId="30">
    <w:abstractNumId w:val="4"/>
  </w:num>
  <w:num w:numId="31">
    <w:abstractNumId w:val="3"/>
  </w:num>
  <w:num w:numId="32">
    <w:abstractNumId w:val="6"/>
  </w:num>
  <w:num w:numId="33">
    <w:abstractNumId w:val="21"/>
  </w:num>
  <w:num w:numId="34">
    <w:abstractNumId w:val="23"/>
  </w:num>
  <w:num w:numId="35">
    <w:abstractNumId w:val="19"/>
  </w:num>
  <w:num w:numId="36">
    <w:abstractNumId w:val="33"/>
  </w:num>
  <w:num w:numId="37">
    <w:abstractNumId w:val="24"/>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Looking for a network telecommunication specialist?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network and telecommunication specialist consists of eliminating_x000a_problems that arise in the telecom network and suggesting solutions for the_x000a_smoother and efficient functioning of the system. It also consists of setting project_x000a_objectives, standards and milestones for building, upgrades and expansions plans."/>
    <w:docVar w:name="Source" w:val="http://www.lawyers-in-usa.com"/>
    <w:docVar w:name="Tags" w:val="network specialist, telecommunications specialist, job description, human resources documents, interview guides, business documents, entrepreneurship, entrepreneur, network and telecommunication specialist job description template, network and telecommunication specialist job description example"/>
  </w:docVars>
  <w:rsids>
    <w:rsidRoot w:val="008E3706"/>
    <w:rsid w:val="000435BD"/>
    <w:rsid w:val="000805AF"/>
    <w:rsid w:val="00087FD5"/>
    <w:rsid w:val="000C3B8A"/>
    <w:rsid w:val="000D15AA"/>
    <w:rsid w:val="000D588C"/>
    <w:rsid w:val="00112D23"/>
    <w:rsid w:val="001162EF"/>
    <w:rsid w:val="00120638"/>
    <w:rsid w:val="00124757"/>
    <w:rsid w:val="001444CB"/>
    <w:rsid w:val="00156D2B"/>
    <w:rsid w:val="001957A3"/>
    <w:rsid w:val="001B073A"/>
    <w:rsid w:val="001B51EE"/>
    <w:rsid w:val="001B5EB7"/>
    <w:rsid w:val="001F0D6E"/>
    <w:rsid w:val="0024654A"/>
    <w:rsid w:val="00254FFF"/>
    <w:rsid w:val="00274307"/>
    <w:rsid w:val="002A2291"/>
    <w:rsid w:val="002A5F04"/>
    <w:rsid w:val="002A7C42"/>
    <w:rsid w:val="002B069B"/>
    <w:rsid w:val="002B585C"/>
    <w:rsid w:val="002C7FDB"/>
    <w:rsid w:val="00306E0A"/>
    <w:rsid w:val="00331E09"/>
    <w:rsid w:val="00335A71"/>
    <w:rsid w:val="00351E9C"/>
    <w:rsid w:val="00364FFA"/>
    <w:rsid w:val="00366ECE"/>
    <w:rsid w:val="00383A81"/>
    <w:rsid w:val="0039124F"/>
    <w:rsid w:val="00393922"/>
    <w:rsid w:val="003A5EE6"/>
    <w:rsid w:val="003A75E9"/>
    <w:rsid w:val="003B5759"/>
    <w:rsid w:val="003E4DC6"/>
    <w:rsid w:val="003F561F"/>
    <w:rsid w:val="00413248"/>
    <w:rsid w:val="00421197"/>
    <w:rsid w:val="00443E30"/>
    <w:rsid w:val="004520E0"/>
    <w:rsid w:val="0047060B"/>
    <w:rsid w:val="00473F2B"/>
    <w:rsid w:val="0047656E"/>
    <w:rsid w:val="00481A1A"/>
    <w:rsid w:val="00482E17"/>
    <w:rsid w:val="004A68B5"/>
    <w:rsid w:val="004C2788"/>
    <w:rsid w:val="004D39A1"/>
    <w:rsid w:val="004E1689"/>
    <w:rsid w:val="004F6ED1"/>
    <w:rsid w:val="005164E9"/>
    <w:rsid w:val="00540314"/>
    <w:rsid w:val="0056495C"/>
    <w:rsid w:val="00572763"/>
    <w:rsid w:val="00572E8A"/>
    <w:rsid w:val="00580013"/>
    <w:rsid w:val="005E41B2"/>
    <w:rsid w:val="0060588E"/>
    <w:rsid w:val="006173B3"/>
    <w:rsid w:val="00631161"/>
    <w:rsid w:val="00655109"/>
    <w:rsid w:val="00670906"/>
    <w:rsid w:val="00683F72"/>
    <w:rsid w:val="00684348"/>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651C0"/>
    <w:rsid w:val="00880770"/>
    <w:rsid w:val="00886112"/>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4EF8"/>
    <w:rsid w:val="00AF5289"/>
    <w:rsid w:val="00B01712"/>
    <w:rsid w:val="00B1745E"/>
    <w:rsid w:val="00B21CB2"/>
    <w:rsid w:val="00B25940"/>
    <w:rsid w:val="00B34733"/>
    <w:rsid w:val="00B61691"/>
    <w:rsid w:val="00B62CD1"/>
    <w:rsid w:val="00B6586D"/>
    <w:rsid w:val="00B72D86"/>
    <w:rsid w:val="00B91F8C"/>
    <w:rsid w:val="00B95080"/>
    <w:rsid w:val="00BA4E7E"/>
    <w:rsid w:val="00BB3760"/>
    <w:rsid w:val="00BD4620"/>
    <w:rsid w:val="00BF4F27"/>
    <w:rsid w:val="00C10B93"/>
    <w:rsid w:val="00C21E01"/>
    <w:rsid w:val="00C40C48"/>
    <w:rsid w:val="00C45176"/>
    <w:rsid w:val="00C53AF9"/>
    <w:rsid w:val="00C968F9"/>
    <w:rsid w:val="00CA14F7"/>
    <w:rsid w:val="00CA4425"/>
    <w:rsid w:val="00CB6E6B"/>
    <w:rsid w:val="00CC2402"/>
    <w:rsid w:val="00CD3596"/>
    <w:rsid w:val="00CE1703"/>
    <w:rsid w:val="00CE44C7"/>
    <w:rsid w:val="00D03D45"/>
    <w:rsid w:val="00D23897"/>
    <w:rsid w:val="00D61F8D"/>
    <w:rsid w:val="00D94F7A"/>
    <w:rsid w:val="00DD2495"/>
    <w:rsid w:val="00DE77F6"/>
    <w:rsid w:val="00E215B4"/>
    <w:rsid w:val="00E46A1B"/>
    <w:rsid w:val="00E62992"/>
    <w:rsid w:val="00E97EFC"/>
    <w:rsid w:val="00EB48A0"/>
    <w:rsid w:val="00EB4E3B"/>
    <w:rsid w:val="00EB6FA2"/>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C225-B609-4912-9307-90550CBD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359</Words>
  <Characters>2349</Characters>
  <Application>Microsoft Office Word</Application>
  <DocSecurity>0</DocSecurity>
  <Lines>92</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2018-11-28T13:07:00Z</dcterms:created>
  <dcterms:modified xsi:type="dcterms:W3CDTF">2019-10-21T19:09:00Z</dcterms:modified>
  <cp:category/>
</cp:coreProperties>
</file>