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68E" w:rsidRDefault="00650B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color w:val="000000"/>
          <w:sz w:val="32"/>
          <w:szCs w:val="32"/>
        </w:rPr>
      </w:pPr>
      <w:bookmarkStart w:id="0" w:name="_heading=h.gjdgxs" w:colFirst="0" w:colLast="0"/>
      <w:bookmarkStart w:id="1" w:name="_GoBack"/>
      <w:bookmarkEnd w:id="0"/>
      <w:bookmarkEnd w:id="1"/>
      <w:r>
        <w:rPr>
          <w:b/>
          <w:sz w:val="32"/>
          <w:szCs w:val="32"/>
        </w:rPr>
        <w:t>COMPETITIVE ADVANTAGE SPREADSHEET</w:t>
      </w:r>
    </w:p>
    <w:p w:rsidR="008D568E" w:rsidRDefault="00650B87">
      <w:pPr>
        <w:pBdr>
          <w:top w:val="nil"/>
          <w:left w:val="nil"/>
          <w:bottom w:val="nil"/>
          <w:right w:val="nil"/>
          <w:between w:val="nil"/>
        </w:pBdr>
        <w:tabs>
          <w:tab w:val="left" w:pos="255"/>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b/>
          <w:color w:val="000000"/>
          <w:sz w:val="20"/>
          <w:szCs w:val="20"/>
        </w:rPr>
      </w:pPr>
      <w:r>
        <w:rPr>
          <w:rFonts w:cs="Arial"/>
          <w:b/>
          <w:color w:val="000000"/>
          <w:sz w:val="20"/>
          <w:szCs w:val="20"/>
        </w:rPr>
        <w:tab/>
      </w:r>
      <w:r>
        <w:rPr>
          <w:rFonts w:cs="Arial"/>
          <w:b/>
          <w:color w:val="000000"/>
          <w:sz w:val="20"/>
          <w:szCs w:val="20"/>
        </w:rPr>
        <w:tab/>
      </w:r>
    </w:p>
    <w:p w:rsidR="008D568E" w:rsidRDefault="008D56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4"/>
          <w:szCs w:val="24"/>
        </w:rPr>
      </w:pPr>
    </w:p>
    <w:p w:rsidR="008D568E" w:rsidRDefault="00650B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4"/>
          <w:szCs w:val="24"/>
        </w:rPr>
      </w:pPr>
      <w:r>
        <w:rPr>
          <w:rFonts w:cs="Arial"/>
          <w:color w:val="000000"/>
          <w:sz w:val="24"/>
          <w:szCs w:val="24"/>
        </w:rPr>
        <w:t xml:space="preserve">This template is </w:t>
      </w:r>
      <w:r>
        <w:rPr>
          <w:sz w:val="24"/>
          <w:szCs w:val="24"/>
        </w:rPr>
        <w:t>designed to assist companies in thinking about what gives a product or service a competitive advantage and to help them rank their own product and service lines. Comparisons will be made between you and your competitors.</w:t>
      </w:r>
    </w:p>
    <w:p w:rsidR="008D568E" w:rsidRDefault="008D56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4"/>
          <w:szCs w:val="24"/>
        </w:rPr>
      </w:pPr>
    </w:p>
    <w:p w:rsidR="008D568E" w:rsidRDefault="00650B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4"/>
          <w:szCs w:val="24"/>
        </w:rPr>
      </w:pPr>
      <w:r>
        <w:rPr>
          <w:rFonts w:cs="Arial"/>
          <w:color w:val="000000"/>
          <w:sz w:val="24"/>
          <w:szCs w:val="24"/>
        </w:rPr>
        <w:t>Criteria in the first two categories address</w:t>
      </w:r>
      <w:r>
        <w:rPr>
          <w:sz w:val="24"/>
          <w:szCs w:val="24"/>
        </w:rPr>
        <w:t xml:space="preserve"> </w:t>
      </w:r>
      <w:r>
        <w:rPr>
          <w:rFonts w:cs="Arial"/>
          <w:color w:val="000000"/>
          <w:sz w:val="24"/>
          <w:szCs w:val="24"/>
        </w:rPr>
        <w:t>how a customer might evaluate a company’s product or service offering bas</w:t>
      </w:r>
      <w:r>
        <w:rPr>
          <w:sz w:val="24"/>
          <w:szCs w:val="24"/>
        </w:rPr>
        <w:t>ed on how unique it is</w:t>
      </w:r>
      <w:r>
        <w:rPr>
          <w:rFonts w:cs="Arial"/>
          <w:color w:val="000000"/>
          <w:sz w:val="24"/>
          <w:szCs w:val="24"/>
        </w:rPr>
        <w:t xml:space="preserve">. Criteria in the third category address the relative sustainability of competitive advantage in the face of market competition. </w:t>
      </w:r>
    </w:p>
    <w:p w:rsidR="008D568E" w:rsidRDefault="008D56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color w:val="000000"/>
          <w:sz w:val="24"/>
          <w:szCs w:val="24"/>
        </w:rPr>
      </w:pPr>
      <w:bookmarkStart w:id="2" w:name="bookmark=id.30j0zll" w:colFirst="0" w:colLast="0"/>
      <w:bookmarkEnd w:id="2"/>
    </w:p>
    <w:p w:rsidR="008D568E" w:rsidRDefault="008D56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color w:val="000000"/>
          <w:sz w:val="24"/>
          <w:szCs w:val="24"/>
        </w:rPr>
      </w:pPr>
    </w:p>
    <w:p w:rsidR="008D568E" w:rsidRDefault="00650B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4"/>
          <w:szCs w:val="24"/>
        </w:rPr>
      </w:pPr>
      <w:r>
        <w:rPr>
          <w:rFonts w:cs="Arial"/>
          <w:b/>
          <w:color w:val="000000"/>
          <w:sz w:val="24"/>
          <w:szCs w:val="24"/>
        </w:rPr>
        <w:t>USING THE SPREADSHEET</w:t>
      </w:r>
    </w:p>
    <w:p w:rsidR="008D568E" w:rsidRDefault="008D56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4"/>
          <w:szCs w:val="24"/>
        </w:rPr>
      </w:pPr>
    </w:p>
    <w:p w:rsidR="008D568E" w:rsidRDefault="00650B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4"/>
          <w:szCs w:val="24"/>
        </w:rPr>
      </w:pPr>
      <w:r>
        <w:rPr>
          <w:rFonts w:cs="Arial"/>
          <w:color w:val="000000"/>
          <w:sz w:val="24"/>
          <w:szCs w:val="24"/>
        </w:rPr>
        <w:t>The following steps outline how to use the service and product differentiation worksheet:</w:t>
      </w:r>
    </w:p>
    <w:p w:rsidR="008D568E" w:rsidRDefault="008D56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4"/>
          <w:szCs w:val="24"/>
        </w:rPr>
      </w:pPr>
    </w:p>
    <w:p w:rsidR="008D568E" w:rsidRDefault="00650B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Rate your product or service relative to the competition according to the criteria by assigning a numeric value; rating from 0-10, 0 being no advantage and 10 being complete advantage.</w:t>
      </w:r>
    </w:p>
    <w:p w:rsidR="008D568E" w:rsidRDefault="00650B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Weighting may be adjusted if a particular criteria is of strategic importance to your company.</w:t>
      </w:r>
    </w:p>
    <w:p w:rsidR="008D568E" w:rsidRDefault="00650B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The worksheet will multiply the rating by its weighted value to derive a total value. </w:t>
      </w:r>
    </w:p>
    <w:p w:rsidR="008D568E" w:rsidRDefault="00650B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Higher scores imply greater competitive advantage through differentiation. </w:t>
      </w:r>
    </w:p>
    <w:p w:rsidR="008D568E" w:rsidRDefault="00650B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If the same criteria are used, and values are consistently weighted, results should be comparable across services and products. </w:t>
      </w:r>
    </w:p>
    <w:p w:rsidR="008D568E" w:rsidRDefault="008D568E"/>
    <w:tbl>
      <w:tblPr>
        <w:tblStyle w:val="a"/>
        <w:tblW w:w="9359"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660" w:firstRow="1" w:lastRow="1" w:firstColumn="0" w:lastColumn="0" w:noHBand="1" w:noVBand="1"/>
      </w:tblPr>
      <w:tblGrid>
        <w:gridCol w:w="5413"/>
        <w:gridCol w:w="1124"/>
        <w:gridCol w:w="2168"/>
        <w:gridCol w:w="654"/>
      </w:tblGrid>
      <w:tr w:rsidR="008D568E">
        <w:trPr>
          <w:cnfStyle w:val="100000000000" w:firstRow="1" w:lastRow="0" w:firstColumn="0" w:lastColumn="0" w:oddVBand="0" w:evenVBand="0" w:oddHBand="0" w:evenHBand="0" w:firstRowFirstColumn="0" w:firstRowLastColumn="0" w:lastRowFirstColumn="0" w:lastRowLastColumn="0"/>
        </w:trPr>
        <w:tc>
          <w:tcPr>
            <w:tcW w:w="5414" w:type="dxa"/>
          </w:tcPr>
          <w:p w:rsidR="008D568E" w:rsidRDefault="008D568E"/>
        </w:tc>
        <w:tc>
          <w:tcPr>
            <w:tcW w:w="1124" w:type="dxa"/>
          </w:tcPr>
          <w:p w:rsidR="008D568E" w:rsidRDefault="008D568E"/>
        </w:tc>
        <w:tc>
          <w:tcPr>
            <w:tcW w:w="2168" w:type="dxa"/>
          </w:tcPr>
          <w:p w:rsidR="008D568E" w:rsidRDefault="00650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szCs w:val="28"/>
              </w:rPr>
            </w:pPr>
            <w:r>
              <w:rPr>
                <w:sz w:val="28"/>
                <w:szCs w:val="28"/>
              </w:rPr>
              <w:t>PRODUCT AND SERVICE DIFFERENTIATION WORKSHEET</w:t>
            </w:r>
          </w:p>
          <w:p w:rsidR="008D568E" w:rsidRDefault="008D5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8D568E" w:rsidRDefault="00650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Service or Product </w:t>
            </w:r>
          </w:p>
          <w:p w:rsidR="008D568E" w:rsidRDefault="00650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Name: </w:t>
            </w:r>
          </w:p>
          <w:p w:rsidR="008D568E" w:rsidRDefault="008D5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D568E" w:rsidRDefault="00650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rsidR="008D568E" w:rsidRDefault="008D568E"/>
        </w:tc>
        <w:tc>
          <w:tcPr>
            <w:tcW w:w="654" w:type="dxa"/>
          </w:tcPr>
          <w:p w:rsidR="008D568E" w:rsidRDefault="008D568E"/>
        </w:tc>
      </w:tr>
      <w:tr w:rsidR="008D568E">
        <w:tc>
          <w:tcPr>
            <w:tcW w:w="5414" w:type="dxa"/>
          </w:tcPr>
          <w:p w:rsidR="008D568E" w:rsidRDefault="008D568E"/>
        </w:tc>
        <w:tc>
          <w:tcPr>
            <w:tcW w:w="1124" w:type="dxa"/>
          </w:tcPr>
          <w:p w:rsidR="008D568E" w:rsidRDefault="008D568E">
            <w:pPr>
              <w:rPr>
                <w:i/>
              </w:rPr>
            </w:pPr>
          </w:p>
        </w:tc>
        <w:tc>
          <w:tcPr>
            <w:tcW w:w="2168" w:type="dxa"/>
          </w:tcPr>
          <w:p w:rsidR="008D568E" w:rsidRDefault="008D568E"/>
        </w:tc>
        <w:tc>
          <w:tcPr>
            <w:tcW w:w="654" w:type="dxa"/>
          </w:tcPr>
          <w:p w:rsidR="008D568E" w:rsidRDefault="008D568E"/>
        </w:tc>
      </w:tr>
      <w:tr w:rsidR="008D568E">
        <w:tc>
          <w:tcPr>
            <w:tcW w:w="5414" w:type="dxa"/>
          </w:tcPr>
          <w:p w:rsidR="008D568E" w:rsidRDefault="00650B87">
            <w:r>
              <w:t xml:space="preserve">CRITERIA </w:t>
            </w:r>
          </w:p>
        </w:tc>
        <w:tc>
          <w:tcPr>
            <w:tcW w:w="1124" w:type="dxa"/>
          </w:tcPr>
          <w:p w:rsidR="008D568E" w:rsidRDefault="00650B87">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COMPETITIVE RATING</w:t>
            </w:r>
          </w:p>
        </w:tc>
        <w:tc>
          <w:tcPr>
            <w:tcW w:w="2168" w:type="dxa"/>
          </w:tcPr>
          <w:p w:rsidR="008D568E" w:rsidRDefault="00650B87">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WEIGHTED VALUE</w:t>
            </w:r>
          </w:p>
        </w:tc>
        <w:tc>
          <w:tcPr>
            <w:tcW w:w="654" w:type="dxa"/>
          </w:tcPr>
          <w:p w:rsidR="008D568E" w:rsidRDefault="00650B87">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TOTAL VALUE</w:t>
            </w:r>
          </w:p>
        </w:tc>
      </w:tr>
      <w:tr w:rsidR="008D568E">
        <w:tc>
          <w:tcPr>
            <w:tcW w:w="5414" w:type="dxa"/>
          </w:tcPr>
          <w:p w:rsidR="008D568E" w:rsidRDefault="00650B87">
            <w:r>
              <w:t>Related to the product being offered:</w:t>
            </w:r>
          </w:p>
        </w:tc>
        <w:tc>
          <w:tcPr>
            <w:tcW w:w="112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2168"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65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r>
      <w:tr w:rsidR="008D568E">
        <w:tc>
          <w:tcPr>
            <w:tcW w:w="5414" w:type="dxa"/>
          </w:tcPr>
          <w:p w:rsidR="008D568E" w:rsidRDefault="00650B87">
            <w:pPr>
              <w:numPr>
                <w:ilvl w:val="0"/>
                <w:numId w:val="2"/>
              </w:numPr>
              <w:pBdr>
                <w:top w:val="nil"/>
                <w:left w:val="nil"/>
                <w:bottom w:val="nil"/>
                <w:right w:val="nil"/>
                <w:between w:val="nil"/>
              </w:pBdr>
              <w:rPr>
                <w:rFonts w:cs="Arial"/>
                <w:b/>
                <w:color w:val="000000"/>
              </w:rPr>
            </w:pPr>
            <w:r>
              <w:rPr>
                <w:rFonts w:cs="Arial"/>
                <w:b/>
                <w:color w:val="000000"/>
              </w:rPr>
              <w:lastRenderedPageBreak/>
              <w:t>Product or service benefits (cost savings, service improvement, etc.)</w:t>
            </w:r>
          </w:p>
        </w:tc>
        <w:tc>
          <w:tcPr>
            <w:tcW w:w="112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2168"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65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r>
      <w:tr w:rsidR="008D568E">
        <w:tc>
          <w:tcPr>
            <w:tcW w:w="5414" w:type="dxa"/>
          </w:tcPr>
          <w:p w:rsidR="008D568E" w:rsidRDefault="008D568E"/>
        </w:tc>
        <w:tc>
          <w:tcPr>
            <w:tcW w:w="112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2168"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65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r>
      <w:tr w:rsidR="008D568E">
        <w:tc>
          <w:tcPr>
            <w:tcW w:w="5414" w:type="dxa"/>
          </w:tcPr>
          <w:p w:rsidR="008D568E" w:rsidRDefault="00650B87">
            <w:r>
              <w:t>Unique feature of offering</w:t>
            </w:r>
          </w:p>
        </w:tc>
        <w:tc>
          <w:tcPr>
            <w:tcW w:w="112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2168"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65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r>
      <w:tr w:rsidR="008D568E">
        <w:tc>
          <w:tcPr>
            <w:tcW w:w="5414" w:type="dxa"/>
          </w:tcPr>
          <w:p w:rsidR="008D568E" w:rsidRDefault="008D568E"/>
        </w:tc>
        <w:tc>
          <w:tcPr>
            <w:tcW w:w="1124" w:type="dxa"/>
          </w:tcPr>
          <w:p w:rsidR="008D568E" w:rsidRDefault="008D568E">
            <w:pPr>
              <w:rPr>
                <w:i/>
              </w:rPr>
            </w:pPr>
          </w:p>
        </w:tc>
        <w:tc>
          <w:tcPr>
            <w:tcW w:w="2168" w:type="dxa"/>
          </w:tcPr>
          <w:p w:rsidR="008D568E" w:rsidRDefault="008D568E"/>
        </w:tc>
        <w:tc>
          <w:tcPr>
            <w:tcW w:w="654" w:type="dxa"/>
          </w:tcPr>
          <w:p w:rsidR="008D568E" w:rsidRDefault="008D568E"/>
        </w:tc>
      </w:tr>
      <w:tr w:rsidR="008D568E">
        <w:tc>
          <w:tcPr>
            <w:tcW w:w="5414" w:type="dxa"/>
          </w:tcPr>
          <w:p w:rsidR="008D568E" w:rsidRDefault="00650B87">
            <w:r>
              <w:t>Perceived quality of offering</w:t>
            </w:r>
          </w:p>
        </w:tc>
        <w:tc>
          <w:tcPr>
            <w:tcW w:w="112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2168"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65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r>
      <w:tr w:rsidR="008D568E">
        <w:tc>
          <w:tcPr>
            <w:tcW w:w="5414" w:type="dxa"/>
          </w:tcPr>
          <w:p w:rsidR="008D568E" w:rsidRDefault="00650B87">
            <w:r>
              <w:t>Related service(s) provided with offering – pre- and post-sales</w:t>
            </w:r>
          </w:p>
          <w:p w:rsidR="008D568E" w:rsidRDefault="008D568E"/>
        </w:tc>
        <w:tc>
          <w:tcPr>
            <w:tcW w:w="112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2168"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65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r>
      <w:tr w:rsidR="008D568E">
        <w:tc>
          <w:tcPr>
            <w:tcW w:w="5414" w:type="dxa"/>
          </w:tcPr>
          <w:p w:rsidR="008D568E" w:rsidRDefault="00650B87">
            <w:r>
              <w:t>Presentation of offering to prospective clients</w:t>
            </w:r>
          </w:p>
        </w:tc>
        <w:tc>
          <w:tcPr>
            <w:tcW w:w="112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2168"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65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r>
      <w:tr w:rsidR="008D568E">
        <w:tc>
          <w:tcPr>
            <w:tcW w:w="5414" w:type="dxa"/>
          </w:tcPr>
          <w:p w:rsidR="008D568E" w:rsidRDefault="00650B87">
            <w:r>
              <w:t>Price of offering</w:t>
            </w:r>
          </w:p>
          <w:p w:rsidR="008D568E" w:rsidRDefault="008D568E"/>
          <w:p w:rsidR="008D568E" w:rsidRDefault="00650B87">
            <w:r>
              <w:t>Delivery method for your offering</w:t>
            </w:r>
          </w:p>
          <w:p w:rsidR="008D568E" w:rsidRDefault="008D568E"/>
        </w:tc>
        <w:tc>
          <w:tcPr>
            <w:tcW w:w="112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2168"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65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r>
      <w:tr w:rsidR="008D568E">
        <w:tc>
          <w:tcPr>
            <w:tcW w:w="5414" w:type="dxa"/>
          </w:tcPr>
          <w:p w:rsidR="008D568E" w:rsidRDefault="00650B87">
            <w:r>
              <w:t>Time to delivery</w:t>
            </w:r>
          </w:p>
          <w:p w:rsidR="008D568E" w:rsidRDefault="008D568E"/>
          <w:p w:rsidR="008D568E" w:rsidRDefault="00650B87">
            <w:r>
              <w:t>Relationship of your offering to complementary offerings</w:t>
            </w:r>
          </w:p>
          <w:p w:rsidR="008D568E" w:rsidRDefault="008D568E"/>
          <w:p w:rsidR="008D568E" w:rsidRDefault="00650B87">
            <w:pPr>
              <w:rPr>
                <w:b/>
              </w:rPr>
            </w:pPr>
            <w:r>
              <w:rPr>
                <w:b/>
              </w:rPr>
              <w:t>Sub-total</w:t>
            </w:r>
          </w:p>
          <w:p w:rsidR="008D568E" w:rsidRDefault="008D568E">
            <w:pPr>
              <w:rPr>
                <w:b/>
              </w:rPr>
            </w:pPr>
          </w:p>
          <w:p w:rsidR="008D568E" w:rsidRDefault="008D568E">
            <w:pPr>
              <w:rPr>
                <w:b/>
              </w:rPr>
            </w:pPr>
          </w:p>
          <w:p w:rsidR="008D568E" w:rsidRDefault="00650B87">
            <w:pPr>
              <w:numPr>
                <w:ilvl w:val="0"/>
                <w:numId w:val="2"/>
              </w:numPr>
              <w:pBdr>
                <w:top w:val="nil"/>
                <w:left w:val="nil"/>
                <w:bottom w:val="nil"/>
                <w:right w:val="nil"/>
                <w:between w:val="nil"/>
              </w:pBdr>
            </w:pPr>
            <w:r>
              <w:rPr>
                <w:rFonts w:cs="Arial"/>
                <w:b/>
                <w:color w:val="000000"/>
                <w:sz w:val="20"/>
                <w:szCs w:val="20"/>
              </w:rPr>
              <w:t xml:space="preserve"> Criteria related to your company:</w:t>
            </w:r>
          </w:p>
          <w:p w:rsidR="008D568E" w:rsidRDefault="008D568E"/>
          <w:p w:rsidR="008D568E" w:rsidRDefault="00650B87">
            <w:pPr>
              <w:rPr>
                <w:sz w:val="24"/>
                <w:szCs w:val="24"/>
              </w:rPr>
            </w:pPr>
            <w:r>
              <w:rPr>
                <w:sz w:val="24"/>
                <w:szCs w:val="24"/>
              </w:rPr>
              <w:t>Geographic location of your office(s)</w:t>
            </w:r>
          </w:p>
          <w:p w:rsidR="008D568E" w:rsidRDefault="008D568E">
            <w:pPr>
              <w:rPr>
                <w:sz w:val="20"/>
                <w:szCs w:val="20"/>
              </w:rPr>
            </w:pPr>
          </w:p>
          <w:p w:rsidR="008D568E" w:rsidRDefault="00650B87">
            <w:pPr>
              <w:rPr>
                <w:sz w:val="24"/>
                <w:szCs w:val="24"/>
              </w:rPr>
            </w:pPr>
            <w:r>
              <w:rPr>
                <w:sz w:val="24"/>
                <w:szCs w:val="24"/>
              </w:rPr>
              <w:t>Convenience of buying from your company</w:t>
            </w:r>
          </w:p>
          <w:p w:rsidR="008D568E" w:rsidRDefault="008D568E">
            <w:pPr>
              <w:rPr>
                <w:sz w:val="24"/>
                <w:szCs w:val="24"/>
              </w:rPr>
            </w:pPr>
          </w:p>
          <w:p w:rsidR="008D568E" w:rsidRDefault="00650B87">
            <w:pPr>
              <w:rPr>
                <w:sz w:val="24"/>
                <w:szCs w:val="24"/>
              </w:rPr>
            </w:pPr>
            <w:r>
              <w:rPr>
                <w:sz w:val="24"/>
                <w:szCs w:val="24"/>
              </w:rPr>
              <w:t>Knowledge about your offering</w:t>
            </w:r>
          </w:p>
          <w:p w:rsidR="008D568E" w:rsidRDefault="008D568E">
            <w:pPr>
              <w:rPr>
                <w:sz w:val="24"/>
                <w:szCs w:val="24"/>
              </w:rPr>
            </w:pPr>
          </w:p>
          <w:p w:rsidR="008D568E" w:rsidRDefault="00650B87">
            <w:pPr>
              <w:rPr>
                <w:sz w:val="24"/>
                <w:szCs w:val="24"/>
              </w:rPr>
            </w:pPr>
            <w:r>
              <w:rPr>
                <w:sz w:val="24"/>
                <w:szCs w:val="24"/>
              </w:rPr>
              <w:t>Relationship to customers (shared knowledge, values, trust, etc.)</w:t>
            </w:r>
          </w:p>
          <w:p w:rsidR="008D568E" w:rsidRDefault="008D568E">
            <w:pPr>
              <w:rPr>
                <w:sz w:val="24"/>
                <w:szCs w:val="24"/>
              </w:rPr>
            </w:pPr>
          </w:p>
          <w:p w:rsidR="008D568E" w:rsidRDefault="00650B87">
            <w:pPr>
              <w:rPr>
                <w:sz w:val="24"/>
                <w:szCs w:val="24"/>
              </w:rPr>
            </w:pPr>
            <w:r>
              <w:rPr>
                <w:sz w:val="24"/>
                <w:szCs w:val="24"/>
              </w:rPr>
              <w:t xml:space="preserve">Company image </w:t>
            </w:r>
          </w:p>
          <w:p w:rsidR="008D568E" w:rsidRDefault="008D568E">
            <w:pPr>
              <w:rPr>
                <w:sz w:val="24"/>
                <w:szCs w:val="24"/>
              </w:rPr>
            </w:pPr>
          </w:p>
          <w:p w:rsidR="008D568E" w:rsidRDefault="00650B87">
            <w:pPr>
              <w:rPr>
                <w:sz w:val="24"/>
                <w:szCs w:val="24"/>
              </w:rPr>
            </w:pPr>
            <w:r>
              <w:rPr>
                <w:sz w:val="24"/>
                <w:szCs w:val="24"/>
              </w:rPr>
              <w:t>Long-term vision of your company</w:t>
            </w:r>
          </w:p>
          <w:p w:rsidR="008D568E" w:rsidRDefault="008D568E">
            <w:pPr>
              <w:rPr>
                <w:sz w:val="24"/>
                <w:szCs w:val="24"/>
              </w:rPr>
            </w:pPr>
          </w:p>
          <w:p w:rsidR="008D568E" w:rsidRDefault="00650B87">
            <w:pPr>
              <w:rPr>
                <w:sz w:val="24"/>
                <w:szCs w:val="24"/>
              </w:rPr>
            </w:pPr>
            <w:r>
              <w:rPr>
                <w:sz w:val="24"/>
                <w:szCs w:val="24"/>
              </w:rPr>
              <w:t>Strategic alliances, partnerships or memberships</w:t>
            </w:r>
          </w:p>
          <w:p w:rsidR="008D568E" w:rsidRDefault="008D568E">
            <w:pPr>
              <w:rPr>
                <w:sz w:val="24"/>
                <w:szCs w:val="24"/>
              </w:rPr>
            </w:pPr>
          </w:p>
          <w:p w:rsidR="008D568E" w:rsidRDefault="00650B87">
            <w:pPr>
              <w:rPr>
                <w:sz w:val="24"/>
                <w:szCs w:val="24"/>
              </w:rPr>
            </w:pPr>
            <w:r>
              <w:rPr>
                <w:sz w:val="24"/>
                <w:szCs w:val="24"/>
              </w:rPr>
              <w:t>Financial stability of your company</w:t>
            </w:r>
          </w:p>
          <w:p w:rsidR="008D568E" w:rsidRDefault="008D568E">
            <w:pPr>
              <w:rPr>
                <w:sz w:val="24"/>
                <w:szCs w:val="24"/>
              </w:rPr>
            </w:pPr>
          </w:p>
          <w:p w:rsidR="008D568E" w:rsidRDefault="00650B87">
            <w:pPr>
              <w:rPr>
                <w:b/>
                <w:sz w:val="24"/>
                <w:szCs w:val="24"/>
              </w:rPr>
            </w:pPr>
            <w:r>
              <w:rPr>
                <w:b/>
                <w:sz w:val="24"/>
                <w:szCs w:val="24"/>
              </w:rPr>
              <w:t>Sub-total</w:t>
            </w:r>
          </w:p>
          <w:p w:rsidR="008D568E" w:rsidRDefault="008D568E">
            <w:pPr>
              <w:rPr>
                <w:b/>
                <w:sz w:val="24"/>
                <w:szCs w:val="24"/>
              </w:rPr>
            </w:pPr>
          </w:p>
          <w:p w:rsidR="008D568E" w:rsidRDefault="008D568E">
            <w:pPr>
              <w:rPr>
                <w:b/>
                <w:sz w:val="24"/>
                <w:szCs w:val="24"/>
              </w:rPr>
            </w:pPr>
          </w:p>
          <w:p w:rsidR="008D568E" w:rsidRDefault="008D568E">
            <w:pPr>
              <w:rPr>
                <w:b/>
                <w:sz w:val="24"/>
                <w:szCs w:val="24"/>
              </w:rPr>
            </w:pPr>
          </w:p>
          <w:p w:rsidR="008D568E" w:rsidRDefault="008D568E">
            <w:pPr>
              <w:rPr>
                <w:b/>
                <w:sz w:val="24"/>
                <w:szCs w:val="24"/>
              </w:rPr>
            </w:pPr>
          </w:p>
          <w:p w:rsidR="008D568E" w:rsidRDefault="00650B87">
            <w:pPr>
              <w:numPr>
                <w:ilvl w:val="0"/>
                <w:numId w:val="2"/>
              </w:numPr>
              <w:pBdr>
                <w:top w:val="nil"/>
                <w:left w:val="nil"/>
                <w:bottom w:val="nil"/>
                <w:right w:val="nil"/>
                <w:between w:val="nil"/>
              </w:pBdr>
            </w:pPr>
            <w:r>
              <w:rPr>
                <w:rFonts w:cs="Arial"/>
                <w:b/>
                <w:color w:val="000000"/>
                <w:sz w:val="24"/>
                <w:szCs w:val="24"/>
              </w:rPr>
              <w:t>Criteria related to your market:</w:t>
            </w:r>
          </w:p>
          <w:p w:rsidR="008D568E" w:rsidRDefault="00650B87">
            <w:pPr>
              <w:rPr>
                <w:sz w:val="24"/>
                <w:szCs w:val="24"/>
              </w:rPr>
            </w:pPr>
            <w:r>
              <w:rPr>
                <w:sz w:val="24"/>
                <w:szCs w:val="24"/>
              </w:rPr>
              <w:t>Position of your offering in market (early, medium, late)</w:t>
            </w:r>
          </w:p>
          <w:p w:rsidR="008D568E" w:rsidRDefault="008D568E">
            <w:pPr>
              <w:rPr>
                <w:sz w:val="24"/>
                <w:szCs w:val="24"/>
              </w:rPr>
            </w:pPr>
          </w:p>
          <w:p w:rsidR="008D568E" w:rsidRDefault="00650B87">
            <w:pPr>
              <w:rPr>
                <w:sz w:val="24"/>
                <w:szCs w:val="24"/>
              </w:rPr>
            </w:pPr>
            <w:r>
              <w:rPr>
                <w:sz w:val="24"/>
                <w:szCs w:val="24"/>
              </w:rPr>
              <w:t>Ease of entry into market (time, cost, barriers to entry, etc.)</w:t>
            </w:r>
          </w:p>
          <w:p w:rsidR="008D568E" w:rsidRDefault="008D568E">
            <w:pPr>
              <w:rPr>
                <w:sz w:val="24"/>
                <w:szCs w:val="24"/>
              </w:rPr>
            </w:pPr>
          </w:p>
          <w:p w:rsidR="008D568E" w:rsidRDefault="00650B87">
            <w:pPr>
              <w:rPr>
                <w:sz w:val="24"/>
                <w:szCs w:val="24"/>
              </w:rPr>
            </w:pPr>
            <w:r>
              <w:rPr>
                <w:sz w:val="24"/>
                <w:szCs w:val="24"/>
              </w:rPr>
              <w:t>Requirement for ongoing innovation of the offering</w:t>
            </w:r>
          </w:p>
          <w:p w:rsidR="008D568E" w:rsidRDefault="008D568E">
            <w:pPr>
              <w:rPr>
                <w:sz w:val="24"/>
                <w:szCs w:val="24"/>
              </w:rPr>
            </w:pPr>
          </w:p>
          <w:p w:rsidR="008D568E" w:rsidRDefault="00650B87">
            <w:pPr>
              <w:rPr>
                <w:sz w:val="24"/>
                <w:szCs w:val="24"/>
              </w:rPr>
            </w:pPr>
            <w:r>
              <w:rPr>
                <w:sz w:val="24"/>
                <w:szCs w:val="24"/>
              </w:rPr>
              <w:t>Product obsolescence time frame</w:t>
            </w:r>
          </w:p>
          <w:p w:rsidR="008D568E" w:rsidRDefault="008D568E">
            <w:pPr>
              <w:rPr>
                <w:sz w:val="24"/>
                <w:szCs w:val="24"/>
              </w:rPr>
            </w:pPr>
          </w:p>
          <w:p w:rsidR="008D568E" w:rsidRDefault="00650B87">
            <w:pPr>
              <w:rPr>
                <w:sz w:val="24"/>
                <w:szCs w:val="24"/>
              </w:rPr>
            </w:pPr>
            <w:r>
              <w:rPr>
                <w:sz w:val="24"/>
                <w:szCs w:val="24"/>
              </w:rPr>
              <w:t>Vertical market or niche market opportunities</w:t>
            </w:r>
          </w:p>
          <w:p w:rsidR="008D568E" w:rsidRDefault="008D568E">
            <w:pPr>
              <w:rPr>
                <w:sz w:val="24"/>
                <w:szCs w:val="24"/>
              </w:rPr>
            </w:pPr>
          </w:p>
          <w:p w:rsidR="008D568E" w:rsidRDefault="00650B87">
            <w:r>
              <w:rPr>
                <w:b/>
                <w:sz w:val="24"/>
                <w:szCs w:val="24"/>
              </w:rPr>
              <w:t>Sub-total</w:t>
            </w:r>
          </w:p>
        </w:tc>
        <w:tc>
          <w:tcPr>
            <w:tcW w:w="112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2168"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65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r>
      <w:tr w:rsidR="008D568E">
        <w:trPr>
          <w:cnfStyle w:val="010000000000" w:firstRow="0" w:lastRow="1" w:firstColumn="0" w:lastColumn="0" w:oddVBand="0" w:evenVBand="0" w:oddHBand="0" w:evenHBand="0" w:firstRowFirstColumn="0" w:firstRowLastColumn="0" w:lastRowFirstColumn="0" w:lastRowLastColumn="0"/>
        </w:trPr>
        <w:tc>
          <w:tcPr>
            <w:tcW w:w="5414" w:type="dxa"/>
          </w:tcPr>
          <w:p w:rsidR="008D568E" w:rsidRDefault="00650B87">
            <w:r>
              <w:t>Total</w:t>
            </w:r>
          </w:p>
        </w:tc>
        <w:tc>
          <w:tcPr>
            <w:tcW w:w="112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2168"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c>
          <w:tcPr>
            <w:tcW w:w="654" w:type="dxa"/>
          </w:tcPr>
          <w:p w:rsidR="008D568E" w:rsidRDefault="008D568E">
            <w:pPr>
              <w:pBdr>
                <w:top w:val="nil"/>
                <w:left w:val="nil"/>
                <w:bottom w:val="nil"/>
                <w:right w:val="nil"/>
                <w:between w:val="nil"/>
              </w:pBdr>
              <w:spacing w:after="200" w:line="276" w:lineRule="auto"/>
              <w:rPr>
                <w:rFonts w:ascii="Calibri" w:eastAsia="Calibri" w:hAnsi="Calibri" w:cs="Calibri"/>
                <w:color w:val="000000"/>
              </w:rPr>
            </w:pPr>
          </w:p>
        </w:tc>
      </w:tr>
    </w:tbl>
    <w:p w:rsidR="008D568E" w:rsidRDefault="008D568E">
      <w:pPr>
        <w:pBdr>
          <w:top w:val="nil"/>
          <w:left w:val="nil"/>
          <w:bottom w:val="nil"/>
          <w:right w:val="nil"/>
          <w:between w:val="nil"/>
        </w:pBdr>
        <w:rPr>
          <w:rFonts w:ascii="Calibri" w:eastAsia="Calibri" w:hAnsi="Calibri" w:cs="Calibri"/>
          <w:color w:val="000000"/>
          <w:sz w:val="20"/>
          <w:szCs w:val="20"/>
        </w:rPr>
      </w:pPr>
    </w:p>
    <w:p w:rsidR="008D568E" w:rsidRDefault="008D568E"/>
    <w:sectPr w:rsidR="008D56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16F31"/>
    <w:multiLevelType w:val="multilevel"/>
    <w:tmpl w:val="07BAB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966E4C"/>
    <w:multiLevelType w:val="multilevel"/>
    <w:tmpl w:val="571AE234"/>
    <w:lvl w:ilvl="0">
      <w:start w:val="1"/>
      <w:numFmt w:val="decimal"/>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template to help think about the differentiation of your products and services and how to secure a competitive advantage. There are many other planning and management document templates for you to browse here. https://www.templateguru.co.za/templates/planning-management/"/>
    <w:docVar w:name="Excerpt" w:val="This template is designed to assist companies in thinking about what gives a product or service a competitive advantage and to help them rank their own product and service lines. Comparisons will be made between you and your competitors."/>
    <w:docVar w:name="Tags" w:val="Sales and marketing, sale, tips, script, report, business document, entrepreneur, entrepreneurship, sample, reimbursement, press release, inaccurate, media, service and product relations, appointment, speaker, keynote, presentation, marketing brochure, service and product differentiation worksheet template,  service and product differentiation worksheet example"/>
  </w:docVars>
  <w:rsids>
    <w:rsidRoot w:val="008D568E"/>
    <w:rsid w:val="00095081"/>
    <w:rsid w:val="00163DF7"/>
    <w:rsid w:val="00260A59"/>
    <w:rsid w:val="00650B87"/>
    <w:rsid w:val="008D5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0785"/>
    <w:rPr>
      <w:rFonts w:cs="Times New Roman"/>
      <w:lang w:val="x-none" w:eastAsia="x-none" w:bidi="he-I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qFormat/>
    <w:rsid w:val="00B90785"/>
    <w:rPr>
      <w:sz w:val="24"/>
      <w:szCs w:val="24"/>
    </w:rPr>
  </w:style>
  <w:style w:type="table" w:styleId="TableGrid">
    <w:name w:val="Table Grid"/>
    <w:basedOn w:val="TableNormal"/>
    <w:uiPriority w:val="39"/>
    <w:rsid w:val="00D61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591D92"/>
    <w:pPr>
      <w:tabs>
        <w:tab w:val="decimal" w:pos="360"/>
      </w:tabs>
      <w:spacing w:after="200" w:line="276" w:lineRule="auto"/>
    </w:pPr>
    <w:rPr>
      <w:rFonts w:asciiTheme="minorHAnsi" w:eastAsiaTheme="minorEastAsia" w:hAnsiTheme="minorHAnsi"/>
      <w:lang w:val="en-US" w:eastAsia="en-US" w:bidi="ar-SA"/>
    </w:rPr>
  </w:style>
  <w:style w:type="paragraph" w:styleId="FootnoteText">
    <w:name w:val="footnote text"/>
    <w:basedOn w:val="Normal"/>
    <w:link w:val="FootnoteTextChar"/>
    <w:uiPriority w:val="99"/>
    <w:unhideWhenUsed/>
    <w:rsid w:val="00591D92"/>
    <w:rPr>
      <w:rFonts w:asciiTheme="minorHAnsi" w:eastAsiaTheme="minorEastAsia" w:hAnsiTheme="minorHAnsi"/>
      <w:sz w:val="20"/>
      <w:szCs w:val="20"/>
      <w:lang w:val="en-US" w:eastAsia="en-US" w:bidi="ar-SA"/>
    </w:rPr>
  </w:style>
  <w:style w:type="character" w:customStyle="1" w:styleId="FootnoteTextChar">
    <w:name w:val="Footnote Text Char"/>
    <w:basedOn w:val="DefaultParagraphFont"/>
    <w:link w:val="FootnoteText"/>
    <w:uiPriority w:val="99"/>
    <w:rsid w:val="00591D92"/>
    <w:rPr>
      <w:rFonts w:eastAsiaTheme="minorEastAsia" w:cs="Times New Roman"/>
      <w:sz w:val="20"/>
      <w:szCs w:val="20"/>
    </w:rPr>
  </w:style>
  <w:style w:type="character" w:styleId="SubtleEmphasis">
    <w:name w:val="Subtle Emphasis"/>
    <w:basedOn w:val="DefaultParagraphFont"/>
    <w:uiPriority w:val="19"/>
    <w:qFormat/>
    <w:rsid w:val="00591D92"/>
    <w:rPr>
      <w:i/>
      <w:iCs/>
    </w:rPr>
  </w:style>
  <w:style w:type="table" w:styleId="LightShading-Accent1">
    <w:name w:val="Light Shading Accent 1"/>
    <w:basedOn w:val="TableNormal"/>
    <w:uiPriority w:val="60"/>
    <w:rsid w:val="00591D92"/>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uiPriority w:val="34"/>
    <w:qFormat/>
    <w:rsid w:val="00566C0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L/FRRJ+Xa4fmdCLGC+rUFF8ANg==">AMUW2mVuVuXGc0LXIPuRM82OvHEw+XvKAu2RiQmZVfJ5qeW69Enj6OIFPjsTxqjI81xosJMkISJA8M1HhkzkHHSKdvQY/Xo4Hv2ZutAa/68Ox4Dv52uOH77XvHBxrjG6Xy8zNQr6wU7a+628F3H+LNUQyLxpniY2TA==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2082</Characters>
  <Application>Microsoft Office Word</Application>
  <DocSecurity>0</DocSecurity>
  <Lines>151</Lines>
  <Paragraphs>47</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2018-11-22T09:13:00Z</dcterms:created>
  <dcterms:modified xsi:type="dcterms:W3CDTF">2019-10-21T19:18:00Z</dcterms:modified>
  <cp:category/>
</cp:coreProperties>
</file>